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E67" w:rsidRPr="006251E4" w:rsidRDefault="00894E67" w:rsidP="00894E67">
      <w:pPr>
        <w:kinsoku w:val="0"/>
        <w:overflowPunct w:val="0"/>
        <w:autoSpaceDE w:val="0"/>
        <w:autoSpaceDN w:val="0"/>
        <w:snapToGrid w:val="0"/>
        <w:spacing w:line="280" w:lineRule="exact"/>
        <w:ind w:right="1160"/>
        <w:rPr>
          <w:rFonts w:ascii="HG丸ｺﾞｼｯｸM-PRO" w:eastAsia="HG丸ｺﾞｼｯｸM-PRO" w:hAnsi="HG丸ｺﾞｼｯｸM-PRO" w:cs="Times New Roman"/>
          <w:b/>
          <w:spacing w:val="8"/>
          <w:kern w:val="0"/>
          <w:sz w:val="22"/>
        </w:rPr>
      </w:pPr>
    </w:p>
    <w:p w:rsidR="00894E67" w:rsidRPr="006251E4" w:rsidRDefault="00894E67" w:rsidP="00894E67">
      <w:pPr>
        <w:kinsoku w:val="0"/>
        <w:overflowPunct w:val="0"/>
        <w:autoSpaceDE w:val="0"/>
        <w:autoSpaceDN w:val="0"/>
        <w:snapToGrid w:val="0"/>
        <w:spacing w:line="160" w:lineRule="exact"/>
        <w:ind w:right="1162"/>
        <w:rPr>
          <w:rFonts w:ascii="ゴシック体" w:eastAsia="ゴシック体" w:hAnsi="Century" w:cs="Times New Roman"/>
          <w:spacing w:val="8"/>
          <w:kern w:val="0"/>
          <w:sz w:val="28"/>
          <w:szCs w:val="20"/>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1"/>
      </w:tblGrid>
      <w:tr w:rsidR="00894E67" w:rsidRPr="006251E4" w:rsidTr="00894E67">
        <w:trPr>
          <w:trHeight w:val="4650"/>
        </w:trPr>
        <w:tc>
          <w:tcPr>
            <w:tcW w:w="10401" w:type="dxa"/>
          </w:tcPr>
          <w:p w:rsidR="00894E67" w:rsidRPr="006251E4" w:rsidRDefault="00894E67" w:rsidP="00894E67">
            <w:pPr>
              <w:kinsoku w:val="0"/>
              <w:overflowPunct w:val="0"/>
              <w:autoSpaceDE w:val="0"/>
              <w:autoSpaceDN w:val="0"/>
              <w:snapToGrid w:val="0"/>
              <w:spacing w:line="140" w:lineRule="exact"/>
              <w:ind w:right="1162"/>
              <w:rPr>
                <w:rFonts w:ascii="ゴシック体" w:eastAsia="ゴシック体" w:hAnsi="Century" w:cs="Times New Roman"/>
                <w:spacing w:val="8"/>
                <w:kern w:val="0"/>
                <w:sz w:val="28"/>
                <w:szCs w:val="20"/>
              </w:rPr>
            </w:pPr>
          </w:p>
          <w:p w:rsidR="00894E67" w:rsidRPr="006251E4" w:rsidRDefault="00894E67" w:rsidP="00894E67">
            <w:pPr>
              <w:kinsoku w:val="0"/>
              <w:overflowPunct w:val="0"/>
              <w:autoSpaceDE w:val="0"/>
              <w:autoSpaceDN w:val="0"/>
              <w:snapToGrid w:val="0"/>
              <w:ind w:right="452"/>
              <w:jc w:val="center"/>
              <w:rPr>
                <w:rFonts w:ascii="明朝体" w:eastAsia="明朝体" w:hAnsi="Century" w:cs="Times New Roman"/>
                <w:spacing w:val="8"/>
                <w:kern w:val="0"/>
                <w:sz w:val="24"/>
                <w:szCs w:val="24"/>
              </w:rPr>
            </w:pPr>
            <w:r w:rsidRPr="006251E4">
              <w:rPr>
                <w:rFonts w:ascii="明朝体" w:eastAsia="明朝体" w:hAnsi="Century" w:cs="Times New Roman" w:hint="eastAsia"/>
                <w:spacing w:val="8"/>
                <w:kern w:val="0"/>
                <w:sz w:val="24"/>
                <w:szCs w:val="24"/>
              </w:rPr>
              <w:t>誓　　約　　書（監　事）</w:t>
            </w:r>
          </w:p>
          <w:p w:rsidR="00894E67" w:rsidRPr="006251E4" w:rsidRDefault="00894E67" w:rsidP="00894E67">
            <w:pPr>
              <w:kinsoku w:val="0"/>
              <w:wordWrap w:val="0"/>
              <w:overflowPunct w:val="0"/>
              <w:autoSpaceDE w:val="0"/>
              <w:autoSpaceDN w:val="0"/>
              <w:snapToGrid w:val="0"/>
              <w:spacing w:line="140" w:lineRule="exact"/>
              <w:ind w:right="45"/>
              <w:rPr>
                <w:rFonts w:ascii="明朝体" w:eastAsia="明朝体" w:hAnsi="Century" w:cs="Times New Roman"/>
                <w:kern w:val="0"/>
                <w:sz w:val="22"/>
              </w:rPr>
            </w:pPr>
          </w:p>
          <w:p w:rsidR="00894E67" w:rsidRPr="006251E4" w:rsidRDefault="004F7089" w:rsidP="00894E67">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w:t>
            </w:r>
            <w:r w:rsidR="00894E67" w:rsidRPr="006251E4">
              <w:rPr>
                <w:rFonts w:ascii="明朝体" w:eastAsia="明朝体" w:hAnsi="Century" w:cs="Times New Roman" w:hint="eastAsia"/>
                <w:kern w:val="0"/>
                <w:sz w:val="22"/>
              </w:rPr>
              <w:t>社会福祉法人○○会の監事就任にあたり、次の各号に該当していないことを誓約します。</w:t>
            </w:r>
          </w:p>
          <w:p w:rsidR="00894E67" w:rsidRPr="006251E4" w:rsidRDefault="00894E67" w:rsidP="00894E67">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１　法人</w:t>
            </w:r>
          </w:p>
          <w:p w:rsidR="00894E67" w:rsidRPr="006251E4" w:rsidRDefault="00894E67" w:rsidP="00742084">
            <w:pPr>
              <w:kinsoku w:val="0"/>
              <w:wordWrap w:val="0"/>
              <w:overflowPunct w:val="0"/>
              <w:autoSpaceDE w:val="0"/>
              <w:autoSpaceDN w:val="0"/>
              <w:snapToGrid w:val="0"/>
              <w:spacing w:line="372" w:lineRule="exact"/>
              <w:ind w:leftChars="100" w:left="650" w:right="43" w:hangingChars="200" w:hanging="440"/>
              <w:rPr>
                <w:rFonts w:ascii="明朝体" w:eastAsia="明朝体" w:hAnsi="Century" w:cs="Times New Roman"/>
                <w:kern w:val="0"/>
                <w:sz w:val="22"/>
              </w:rPr>
            </w:pPr>
            <w:r w:rsidRPr="006251E4">
              <w:rPr>
                <w:rFonts w:ascii="明朝体" w:eastAsia="明朝体" w:hAnsi="Century" w:cs="Times New Roman" w:hint="eastAsia"/>
                <w:kern w:val="0"/>
                <w:sz w:val="22"/>
              </w:rPr>
              <w:t xml:space="preserve">２　</w:t>
            </w:r>
            <w:r w:rsidR="00801392" w:rsidRPr="006251E4">
              <w:rPr>
                <w:rFonts w:ascii="明朝体" w:eastAsia="明朝体" w:hAnsi="Century" w:cs="Times New Roman" w:hint="eastAsia"/>
                <w:kern w:val="0"/>
                <w:sz w:val="22"/>
              </w:rPr>
              <w:t>精神の機能の障がい</w:t>
            </w:r>
            <w:r w:rsidR="00742084" w:rsidRPr="006251E4">
              <w:rPr>
                <w:rFonts w:ascii="明朝体" w:eastAsia="明朝体" w:hAnsi="Century" w:cs="Times New Roman" w:hint="eastAsia"/>
                <w:kern w:val="0"/>
                <w:sz w:val="22"/>
              </w:rPr>
              <w:t>により職務を適正に執行するに当たって必要な認知、判断及び意思疎通を適切に行うことができない者</w:t>
            </w:r>
          </w:p>
          <w:p w:rsidR="00894E67" w:rsidRPr="006251E4" w:rsidRDefault="00894E67" w:rsidP="00894E67">
            <w:pPr>
              <w:kinsoku w:val="0"/>
              <w:wordWrap w:val="0"/>
              <w:overflowPunct w:val="0"/>
              <w:autoSpaceDE w:val="0"/>
              <w:autoSpaceDN w:val="0"/>
              <w:snapToGrid w:val="0"/>
              <w:spacing w:line="372" w:lineRule="exact"/>
              <w:ind w:leftChars="100" w:left="650" w:right="43" w:hangingChars="200" w:hanging="440"/>
              <w:rPr>
                <w:rFonts w:ascii="明朝体" w:eastAsia="明朝体" w:hAnsi="Century" w:cs="Times New Roman"/>
                <w:kern w:val="0"/>
                <w:sz w:val="22"/>
              </w:rPr>
            </w:pPr>
            <w:r w:rsidRPr="006251E4">
              <w:rPr>
                <w:rFonts w:ascii="明朝体" w:eastAsia="明朝体" w:hAnsi="Century" w:cs="Times New Roman" w:hint="eastAsia"/>
                <w:kern w:val="0"/>
                <w:sz w:val="22"/>
              </w:rPr>
              <w:t>３　生活保護法、児童福祉法、老人福祉法、身体障害者福祉法又は社会福祉法の規定に違反して刑に処せられ、その執行を終わり、又は執行を受けることがなくなるまでの者</w:t>
            </w:r>
          </w:p>
          <w:p w:rsidR="00894E67" w:rsidRPr="006251E4" w:rsidRDefault="007C01CC" w:rsidP="00894E67">
            <w:pPr>
              <w:kinsoku w:val="0"/>
              <w:wordWrap w:val="0"/>
              <w:overflowPunct w:val="0"/>
              <w:autoSpaceDE w:val="0"/>
              <w:autoSpaceDN w:val="0"/>
              <w:snapToGrid w:val="0"/>
              <w:spacing w:line="372" w:lineRule="exact"/>
              <w:ind w:leftChars="100" w:left="650" w:right="43" w:hangingChars="200" w:hanging="440"/>
              <w:rPr>
                <w:rFonts w:ascii="明朝体" w:eastAsia="明朝体" w:hAnsi="Century" w:cs="Times New Roman"/>
                <w:kern w:val="0"/>
                <w:sz w:val="22"/>
              </w:rPr>
            </w:pPr>
            <w:r>
              <w:rPr>
                <w:rFonts w:ascii="明朝体" w:eastAsia="明朝体" w:hAnsi="Century" w:cs="Times New Roman" w:hint="eastAsia"/>
                <w:kern w:val="0"/>
                <w:sz w:val="22"/>
              </w:rPr>
              <w:t>４　３に該当する者を除くほか、拘禁刑</w:t>
            </w:r>
            <w:bookmarkStart w:id="0" w:name="_GoBack"/>
            <w:bookmarkEnd w:id="0"/>
            <w:r w:rsidR="00894E67" w:rsidRPr="006251E4">
              <w:rPr>
                <w:rFonts w:ascii="明朝体" w:eastAsia="明朝体" w:hAnsi="Century" w:cs="Times New Roman" w:hint="eastAsia"/>
                <w:kern w:val="0"/>
                <w:sz w:val="22"/>
              </w:rPr>
              <w:t>以上の刑に処せられ、その執行を終わり、又は執行を受けることがなくなるまでの者</w:t>
            </w:r>
          </w:p>
          <w:p w:rsidR="00894E67" w:rsidRPr="006251E4" w:rsidRDefault="00894E67" w:rsidP="00894E67">
            <w:pPr>
              <w:kinsoku w:val="0"/>
              <w:wordWrap w:val="0"/>
              <w:overflowPunct w:val="0"/>
              <w:autoSpaceDE w:val="0"/>
              <w:autoSpaceDN w:val="0"/>
              <w:snapToGrid w:val="0"/>
              <w:spacing w:line="372" w:lineRule="exact"/>
              <w:ind w:right="43" w:firstLineChars="100" w:firstLine="220"/>
              <w:rPr>
                <w:rFonts w:ascii="明朝体" w:eastAsia="明朝体" w:hAnsi="Century" w:cs="Times New Roman"/>
                <w:kern w:val="0"/>
                <w:sz w:val="22"/>
              </w:rPr>
            </w:pPr>
            <w:r w:rsidRPr="006251E4">
              <w:rPr>
                <w:rFonts w:ascii="明朝体" w:eastAsia="明朝体" w:hAnsi="Century" w:cs="Times New Roman" w:hint="eastAsia"/>
                <w:kern w:val="0"/>
                <w:sz w:val="22"/>
              </w:rPr>
              <w:t>５　所轄庁の解散命令により解散を命ぜられた社会福祉法人の解散当時の役員</w:t>
            </w:r>
          </w:p>
          <w:p w:rsidR="00D14325" w:rsidRPr="006251E4" w:rsidRDefault="00D14325" w:rsidP="00D14325">
            <w:pPr>
              <w:kinsoku w:val="0"/>
              <w:wordWrap w:val="0"/>
              <w:overflowPunct w:val="0"/>
              <w:autoSpaceDE w:val="0"/>
              <w:autoSpaceDN w:val="0"/>
              <w:snapToGrid w:val="0"/>
              <w:spacing w:line="372" w:lineRule="exact"/>
              <w:ind w:right="43" w:firstLineChars="100" w:firstLine="220"/>
              <w:rPr>
                <w:rFonts w:ascii="明朝体" w:eastAsia="明朝体" w:hAnsi="Century" w:cs="Times New Roman"/>
                <w:kern w:val="0"/>
                <w:sz w:val="22"/>
              </w:rPr>
            </w:pPr>
            <w:r w:rsidRPr="006251E4">
              <w:rPr>
                <w:rFonts w:ascii="明朝体" w:eastAsia="明朝体" w:hAnsi="Century" w:cs="Times New Roman" w:hint="eastAsia"/>
                <w:kern w:val="0"/>
                <w:sz w:val="22"/>
              </w:rPr>
              <w:t>６　暴力団員又は暴力団員でなくなった日から５年を経過しない者</w:t>
            </w:r>
          </w:p>
          <w:p w:rsidR="00894E67" w:rsidRPr="006251E4" w:rsidRDefault="00894E67" w:rsidP="00894E67">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７　破産手続開始の決定（破産法第３０条第１項）</w:t>
            </w:r>
          </w:p>
          <w:p w:rsidR="00894E67" w:rsidRPr="006251E4" w:rsidRDefault="00894E67" w:rsidP="00894E67">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８　各役員と親族等特殊関係にある者</w:t>
            </w:r>
          </w:p>
          <w:p w:rsidR="00894E67" w:rsidRPr="006251E4" w:rsidRDefault="00894E67" w:rsidP="00894E67">
            <w:pPr>
              <w:kinsoku w:val="0"/>
              <w:wordWrap w:val="0"/>
              <w:overflowPunct w:val="0"/>
              <w:autoSpaceDE w:val="0"/>
              <w:autoSpaceDN w:val="0"/>
              <w:snapToGrid w:val="0"/>
              <w:spacing w:line="140" w:lineRule="exact"/>
              <w:ind w:right="45"/>
              <w:rPr>
                <w:rFonts w:ascii="明朝体" w:eastAsia="明朝体" w:hAnsi="Century" w:cs="Times New Roman"/>
                <w:kern w:val="0"/>
                <w:sz w:val="22"/>
              </w:rPr>
            </w:pPr>
          </w:p>
          <w:p w:rsidR="00894E67" w:rsidRPr="006251E4" w:rsidRDefault="00B2301A" w:rsidP="00894E67">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令和</w:t>
            </w:r>
            <w:r w:rsidR="00192926" w:rsidRPr="006251E4">
              <w:rPr>
                <w:rFonts w:ascii="明朝体" w:eastAsia="明朝体" w:hAnsi="Century" w:cs="Times New Roman" w:hint="eastAsia"/>
                <w:kern w:val="0"/>
                <w:sz w:val="22"/>
              </w:rPr>
              <w:t>○○</w:t>
            </w:r>
            <w:r w:rsidR="00894E67" w:rsidRPr="006251E4">
              <w:rPr>
                <w:rFonts w:ascii="明朝体" w:eastAsia="明朝体" w:hAnsi="Century" w:cs="Times New Roman" w:hint="eastAsia"/>
                <w:kern w:val="0"/>
                <w:sz w:val="22"/>
              </w:rPr>
              <w:t>年</w:t>
            </w:r>
            <w:r w:rsidR="00192926" w:rsidRPr="006251E4">
              <w:rPr>
                <w:rFonts w:ascii="明朝体" w:eastAsia="明朝体" w:hAnsi="Century" w:cs="Times New Roman" w:hint="eastAsia"/>
                <w:kern w:val="0"/>
                <w:sz w:val="22"/>
              </w:rPr>
              <w:t>○○</w:t>
            </w:r>
            <w:r w:rsidR="00894E67" w:rsidRPr="006251E4">
              <w:rPr>
                <w:rFonts w:ascii="明朝体" w:eastAsia="明朝体" w:hAnsi="Century" w:cs="Times New Roman" w:hint="eastAsia"/>
                <w:kern w:val="0"/>
                <w:sz w:val="22"/>
              </w:rPr>
              <w:t>月</w:t>
            </w:r>
            <w:r w:rsidR="00192926" w:rsidRPr="006251E4">
              <w:rPr>
                <w:rFonts w:ascii="明朝体" w:eastAsia="明朝体" w:hAnsi="Century" w:cs="Times New Roman" w:hint="eastAsia"/>
                <w:kern w:val="0"/>
                <w:sz w:val="22"/>
              </w:rPr>
              <w:t>○○</w:t>
            </w:r>
            <w:r w:rsidR="00894E67" w:rsidRPr="006251E4">
              <w:rPr>
                <w:rFonts w:ascii="明朝体" w:eastAsia="明朝体" w:hAnsi="Century" w:cs="Times New Roman" w:hint="eastAsia"/>
                <w:kern w:val="0"/>
                <w:sz w:val="22"/>
              </w:rPr>
              <w:t>日</w:t>
            </w:r>
          </w:p>
          <w:p w:rsidR="00894E67" w:rsidRPr="006251E4" w:rsidRDefault="00894E67" w:rsidP="00894E67">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住　所</w:t>
            </w:r>
          </w:p>
          <w:p w:rsidR="00894E67" w:rsidRPr="006251E4" w:rsidRDefault="00894E67" w:rsidP="00894E67">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氏　名　　　　　　　　　　　　　　印</w:t>
            </w:r>
          </w:p>
          <w:p w:rsidR="00894E67" w:rsidRPr="006251E4" w:rsidRDefault="00894E67" w:rsidP="00894E67">
            <w:pPr>
              <w:kinsoku w:val="0"/>
              <w:wordWrap w:val="0"/>
              <w:overflowPunct w:val="0"/>
              <w:autoSpaceDE w:val="0"/>
              <w:autoSpaceDN w:val="0"/>
              <w:snapToGrid w:val="0"/>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社会福祉法人　○○会</w:t>
            </w:r>
          </w:p>
          <w:p w:rsidR="00894E67" w:rsidRPr="006251E4" w:rsidRDefault="004F7089" w:rsidP="00894E67">
            <w:pPr>
              <w:kinsoku w:val="0"/>
              <w:wordWrap w:val="0"/>
              <w:overflowPunct w:val="0"/>
              <w:autoSpaceDE w:val="0"/>
              <w:autoSpaceDN w:val="0"/>
              <w:snapToGrid w:val="0"/>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w:t>
            </w:r>
            <w:r w:rsidR="00B02231" w:rsidRPr="006251E4">
              <w:rPr>
                <w:rFonts w:ascii="明朝体" w:eastAsia="明朝体" w:hAnsi="Century" w:cs="Times New Roman" w:hint="eastAsia"/>
                <w:kern w:val="0"/>
                <w:sz w:val="22"/>
              </w:rPr>
              <w:t xml:space="preserve">理事長　</w:t>
            </w:r>
            <w:r w:rsidR="00894E67" w:rsidRPr="006251E4">
              <w:rPr>
                <w:rFonts w:ascii="明朝体" w:eastAsia="明朝体" w:hAnsi="Century" w:cs="Times New Roman" w:hint="eastAsia"/>
                <w:kern w:val="0"/>
                <w:sz w:val="22"/>
              </w:rPr>
              <w:t>○○</w:t>
            </w:r>
            <w:r w:rsidR="00B02231" w:rsidRPr="006251E4">
              <w:rPr>
                <w:rFonts w:ascii="明朝体" w:eastAsia="明朝体" w:hAnsi="Century" w:cs="Times New Roman" w:hint="eastAsia"/>
                <w:kern w:val="0"/>
                <w:sz w:val="22"/>
              </w:rPr>
              <w:t xml:space="preserve">　</w:t>
            </w:r>
            <w:r w:rsidR="00894E67" w:rsidRPr="006251E4">
              <w:rPr>
                <w:rFonts w:ascii="明朝体" w:eastAsia="明朝体" w:hAnsi="Century" w:cs="Times New Roman" w:hint="eastAsia"/>
                <w:kern w:val="0"/>
                <w:sz w:val="22"/>
              </w:rPr>
              <w:t>○○　様</w:t>
            </w:r>
          </w:p>
          <w:p w:rsidR="00894E67" w:rsidRPr="006251E4" w:rsidRDefault="00894E67" w:rsidP="00894E67">
            <w:pPr>
              <w:kinsoku w:val="0"/>
              <w:overflowPunct w:val="0"/>
              <w:autoSpaceDE w:val="0"/>
              <w:autoSpaceDN w:val="0"/>
              <w:snapToGrid w:val="0"/>
              <w:spacing w:line="180" w:lineRule="exact"/>
              <w:ind w:right="1162"/>
              <w:rPr>
                <w:rFonts w:ascii="ゴシック体" w:eastAsia="ゴシック体" w:hAnsi="Century" w:cs="Times New Roman"/>
                <w:spacing w:val="8"/>
                <w:kern w:val="0"/>
                <w:sz w:val="28"/>
                <w:szCs w:val="20"/>
              </w:rPr>
            </w:pPr>
          </w:p>
        </w:tc>
      </w:tr>
    </w:tbl>
    <w:p w:rsidR="00894E67" w:rsidRPr="006251E4" w:rsidRDefault="00894E67" w:rsidP="00894E67">
      <w:pPr>
        <w:autoSpaceDE w:val="0"/>
        <w:autoSpaceDN w:val="0"/>
        <w:spacing w:line="300" w:lineRule="exact"/>
        <w:ind w:right="-1"/>
        <w:rPr>
          <w:rFonts w:ascii="HG丸ｺﾞｼｯｸM-PRO" w:eastAsia="HG丸ｺﾞｼｯｸM-PRO" w:hAnsi="HG丸ｺﾞｼｯｸM-PRO" w:cs="Times New Roman"/>
          <w:b/>
          <w:spacing w:val="8"/>
          <w:kern w:val="0"/>
          <w:sz w:val="22"/>
        </w:rPr>
      </w:pPr>
    </w:p>
    <w:p w:rsidR="00E64431" w:rsidRPr="006251E4" w:rsidRDefault="005018CE" w:rsidP="0098020C">
      <w:pPr>
        <w:autoSpaceDE w:val="0"/>
        <w:autoSpaceDN w:val="0"/>
        <w:spacing w:line="276" w:lineRule="auto"/>
        <w:ind w:left="990" w:right="-1" w:hangingChars="418" w:hanging="990"/>
        <w:rPr>
          <w:rFonts w:ascii="HG丸ｺﾞｼｯｸM-PRO" w:eastAsia="HG丸ｺﾞｼｯｸM-PRO" w:hAnsi="HG丸ｺﾞｼｯｸM-PRO" w:cs="Times New Roman"/>
          <w:b/>
          <w:spacing w:val="8"/>
          <w:kern w:val="0"/>
          <w:sz w:val="18"/>
          <w:szCs w:val="18"/>
        </w:rPr>
      </w:pPr>
      <w:r w:rsidRPr="006251E4">
        <w:rPr>
          <w:rFonts w:ascii="HG丸ｺﾞｼｯｸM-PRO" w:eastAsia="HG丸ｺﾞｼｯｸM-PRO" w:hAnsi="HG丸ｺﾞｼｯｸM-PRO" w:cs="Times New Roman" w:hint="eastAsia"/>
          <w:b/>
          <w:spacing w:val="8"/>
          <w:kern w:val="0"/>
          <w:sz w:val="22"/>
        </w:rPr>
        <w:t>（注）</w:t>
      </w:r>
      <w:r w:rsidR="00025ABE" w:rsidRPr="006251E4">
        <w:rPr>
          <w:rFonts w:ascii="HG丸ｺﾞｼｯｸM-PRO" w:eastAsia="HG丸ｺﾞｼｯｸM-PRO" w:hAnsi="HG丸ｺﾞｼｯｸM-PRO" w:cs="Times New Roman" w:hint="eastAsia"/>
          <w:b/>
          <w:spacing w:val="8"/>
          <w:kern w:val="0"/>
          <w:sz w:val="22"/>
        </w:rPr>
        <w:t>１</w:t>
      </w:r>
      <w:r w:rsidR="004F7089" w:rsidRPr="006251E4">
        <w:rPr>
          <w:rFonts w:ascii="HG丸ｺﾞｼｯｸM-PRO" w:eastAsia="HG丸ｺﾞｼｯｸM-PRO" w:hAnsi="HG丸ｺﾞｼｯｸM-PRO" w:cs="Times New Roman" w:hint="eastAsia"/>
          <w:b/>
          <w:spacing w:val="8"/>
          <w:kern w:val="0"/>
          <w:sz w:val="22"/>
        </w:rPr>
        <w:t xml:space="preserve">　監事の選任にあ</w:t>
      </w:r>
      <w:r w:rsidR="00894E67" w:rsidRPr="006251E4">
        <w:rPr>
          <w:rFonts w:ascii="HG丸ｺﾞｼｯｸM-PRO" w:eastAsia="HG丸ｺﾞｼｯｸM-PRO" w:hAnsi="HG丸ｺﾞｼｯｸM-PRO" w:cs="Times New Roman" w:hint="eastAsia"/>
          <w:b/>
          <w:spacing w:val="8"/>
          <w:kern w:val="0"/>
          <w:sz w:val="22"/>
        </w:rPr>
        <w:t>たり、欠格事由に該当しないか、各役員と特殊の関係にないかについて、確認を行う必要があります。</w:t>
      </w:r>
      <w:r w:rsidR="00E64431" w:rsidRPr="006251E4">
        <w:rPr>
          <w:rFonts w:ascii="HG丸ｺﾞｼｯｸM-PRO" w:eastAsia="HG丸ｺﾞｼｯｸM-PRO" w:hAnsi="HG丸ｺﾞｼｯｸM-PRO" w:cs="Times New Roman" w:hint="eastAsia"/>
          <w:b/>
          <w:spacing w:val="8"/>
          <w:kern w:val="0"/>
          <w:sz w:val="18"/>
          <w:szCs w:val="18"/>
        </w:rPr>
        <w:t>【施行規則第２条の１１】</w:t>
      </w:r>
    </w:p>
    <w:p w:rsidR="00F90AC3" w:rsidRPr="006251E4" w:rsidRDefault="00F90AC3" w:rsidP="0098020C">
      <w:pPr>
        <w:autoSpaceDE w:val="0"/>
        <w:autoSpaceDN w:val="0"/>
        <w:spacing w:line="276" w:lineRule="auto"/>
        <w:ind w:right="-1" w:firstLineChars="500" w:firstLine="1184"/>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確認方法としては、履歴書若しくは誓約書等により候補者本人にこれらの者に該当</w:t>
      </w:r>
    </w:p>
    <w:p w:rsidR="00F90AC3" w:rsidRPr="006251E4" w:rsidRDefault="00F90AC3"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しないことの確認を行う方法があります。また、法人の判断により官公署が発行する</w:t>
      </w:r>
    </w:p>
    <w:p w:rsidR="00F90AC3" w:rsidRPr="006251E4" w:rsidRDefault="00F90AC3"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書類（身分証明書）により確認することも考えられます。特に誓約書例中の第２号に</w:t>
      </w:r>
    </w:p>
    <w:p w:rsidR="00F90AC3" w:rsidRPr="006251E4" w:rsidRDefault="00F90AC3"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ついては、成年被後見人又は被保佐人であることのみをもって当該欠格事由に当たる</w:t>
      </w:r>
    </w:p>
    <w:p w:rsidR="00F90AC3" w:rsidRPr="006251E4" w:rsidRDefault="00F90AC3"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とすることはできないため、必要に応じて法人の判断により医師の診断書等により確</w:t>
      </w:r>
    </w:p>
    <w:p w:rsidR="00894E67" w:rsidRPr="006251E4" w:rsidRDefault="00F90AC3"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認することも考えられます。</w:t>
      </w:r>
    </w:p>
    <w:p w:rsidR="00025ABE" w:rsidRPr="006251E4" w:rsidRDefault="00025ABE" w:rsidP="0098020C">
      <w:pPr>
        <w:autoSpaceDE w:val="0"/>
        <w:autoSpaceDN w:val="0"/>
        <w:spacing w:line="276" w:lineRule="auto"/>
        <w:ind w:right="-1" w:firstLineChars="300" w:firstLine="711"/>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２　１以外にも、当該法人の理事又は職員との兼職の有無については、保有する関係書</w:t>
      </w:r>
    </w:p>
    <w:p w:rsidR="00894E67" w:rsidRPr="006251E4" w:rsidRDefault="00025ABE"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類等により確認を行う必要があります。</w:t>
      </w:r>
    </w:p>
    <w:p w:rsidR="00894E67" w:rsidRPr="006251E4" w:rsidRDefault="00894E67" w:rsidP="00894E67">
      <w:pPr>
        <w:autoSpaceDE w:val="0"/>
        <w:autoSpaceDN w:val="0"/>
        <w:spacing w:line="160" w:lineRule="exact"/>
        <w:ind w:rightChars="132" w:right="277"/>
        <w:rPr>
          <w:rFonts w:ascii="明朝体" w:eastAsia="明朝体" w:hAnsi="Century" w:cs="Times New Roman"/>
          <w:spacing w:val="8"/>
          <w:kern w:val="0"/>
          <w:szCs w:val="20"/>
        </w:rPr>
      </w:pPr>
    </w:p>
    <w:p w:rsidR="00F90AC3" w:rsidRPr="006251E4" w:rsidRDefault="00F90AC3" w:rsidP="00894E67">
      <w:pPr>
        <w:autoSpaceDE w:val="0"/>
        <w:autoSpaceDN w:val="0"/>
        <w:spacing w:line="160" w:lineRule="exact"/>
        <w:ind w:rightChars="132" w:right="277"/>
        <w:rPr>
          <w:rFonts w:ascii="明朝体" w:eastAsia="明朝体" w:hAnsi="Century" w:cs="Times New Roman"/>
          <w:spacing w:val="8"/>
          <w:kern w:val="0"/>
          <w:szCs w:val="20"/>
        </w:rPr>
      </w:pPr>
    </w:p>
    <w:p w:rsidR="00D14325" w:rsidRPr="006251E4" w:rsidRDefault="00D14325" w:rsidP="00D14325">
      <w:pPr>
        <w:autoSpaceDE w:val="0"/>
        <w:autoSpaceDN w:val="0"/>
        <w:spacing w:line="200" w:lineRule="exact"/>
        <w:ind w:leftChars="135" w:left="283" w:rightChars="132" w:right="277" w:firstLine="1"/>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（参考）破産法第３０条第１項</w:t>
      </w:r>
    </w:p>
    <w:p w:rsidR="00D14325" w:rsidRPr="006251E4" w:rsidRDefault="00D14325" w:rsidP="00D14325">
      <w:pPr>
        <w:autoSpaceDE w:val="0"/>
        <w:autoSpaceDN w:val="0"/>
        <w:spacing w:line="200" w:lineRule="exact"/>
        <w:ind w:leftChars="270" w:left="567" w:rightChars="-2" w:right="-4" w:firstLine="1"/>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裁判所は、破産手続開始の申立てがあった場合において、破産手続開始の原因と事実があると認めるときは、</w:t>
      </w:r>
    </w:p>
    <w:p w:rsidR="00D14325" w:rsidRPr="006251E4" w:rsidRDefault="00D14325" w:rsidP="00D14325">
      <w:pPr>
        <w:autoSpaceDE w:val="0"/>
        <w:autoSpaceDN w:val="0"/>
        <w:spacing w:line="200" w:lineRule="exact"/>
        <w:ind w:leftChars="270" w:left="567" w:rightChars="-2" w:right="-4" w:firstLine="1"/>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次の各号のいずれかに該当する場合を除き、破産手続開始の決定をする。</w:t>
      </w:r>
    </w:p>
    <w:p w:rsidR="00D14325" w:rsidRPr="006251E4" w:rsidRDefault="00D14325" w:rsidP="00D14325">
      <w:pPr>
        <w:autoSpaceDE w:val="0"/>
        <w:autoSpaceDN w:val="0"/>
        <w:spacing w:line="200" w:lineRule="exact"/>
        <w:ind w:leftChars="202" w:left="708" w:rightChars="45" w:right="94" w:hanging="284"/>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一　破産手続の費用の予納がないとき。（第２３条第１項前段の規定によりその費用を仮に国庫から支弁する場合を除く。）</w:t>
      </w:r>
    </w:p>
    <w:p w:rsidR="00D14325" w:rsidRPr="006251E4" w:rsidRDefault="00D14325" w:rsidP="00D14325">
      <w:pPr>
        <w:autoSpaceDE w:val="0"/>
        <w:autoSpaceDN w:val="0"/>
        <w:spacing w:line="200" w:lineRule="exact"/>
        <w:ind w:leftChars="202" w:left="708" w:rightChars="45" w:right="94" w:hanging="284"/>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ニ　不当な目的で破産手続開始の申立てがされたとき、その他申立てが誠実にされたものでないとき。</w:t>
      </w:r>
    </w:p>
    <w:p w:rsidR="00D14325" w:rsidRPr="006251E4" w:rsidRDefault="00D14325" w:rsidP="00D14325">
      <w:pPr>
        <w:autoSpaceDE w:val="0"/>
        <w:autoSpaceDN w:val="0"/>
        <w:spacing w:line="200" w:lineRule="exact"/>
        <w:ind w:leftChars="202" w:left="708" w:rightChars="45" w:right="94" w:hanging="284"/>
        <w:rPr>
          <w:rFonts w:ascii="HG丸ｺﾞｼｯｸM-PRO" w:eastAsia="HG丸ｺﾞｼｯｸM-PRO" w:hAnsi="HG丸ｺﾞｼｯｸM-PRO" w:cs="Times New Roman"/>
          <w:spacing w:val="8"/>
          <w:kern w:val="0"/>
          <w:sz w:val="18"/>
          <w:szCs w:val="16"/>
        </w:rPr>
      </w:pPr>
    </w:p>
    <w:p w:rsidR="00D14325" w:rsidRPr="006251E4" w:rsidRDefault="00D14325" w:rsidP="00D14325">
      <w:pPr>
        <w:kinsoku w:val="0"/>
        <w:overflowPunct w:val="0"/>
        <w:autoSpaceDE w:val="0"/>
        <w:autoSpaceDN w:val="0"/>
        <w:snapToGrid w:val="0"/>
        <w:spacing w:line="200" w:lineRule="exact"/>
        <w:ind w:rightChars="132" w:right="277" w:firstLineChars="200" w:firstLine="392"/>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（参考）民法第６５３条</w:t>
      </w:r>
    </w:p>
    <w:p w:rsidR="00D14325" w:rsidRPr="006251E4" w:rsidRDefault="00D14325" w:rsidP="00D14325">
      <w:pPr>
        <w:kinsoku w:val="0"/>
        <w:overflowPunct w:val="0"/>
        <w:autoSpaceDE w:val="0"/>
        <w:autoSpaceDN w:val="0"/>
        <w:snapToGrid w:val="0"/>
        <w:spacing w:line="200" w:lineRule="exact"/>
        <w:ind w:leftChars="337" w:left="992" w:rightChars="132" w:right="277" w:hanging="284"/>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委任は次に掲げる事由によって終了する。</w:t>
      </w:r>
    </w:p>
    <w:p w:rsidR="00D14325" w:rsidRPr="006251E4" w:rsidRDefault="00D14325" w:rsidP="00D14325">
      <w:pPr>
        <w:kinsoku w:val="0"/>
        <w:overflowPunct w:val="0"/>
        <w:autoSpaceDE w:val="0"/>
        <w:autoSpaceDN w:val="0"/>
        <w:snapToGrid w:val="0"/>
        <w:spacing w:line="200" w:lineRule="exact"/>
        <w:ind w:leftChars="201" w:left="707" w:rightChars="132" w:right="277" w:hanging="285"/>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一　委任者又は受任者の死亡</w:t>
      </w:r>
    </w:p>
    <w:p w:rsidR="00D14325" w:rsidRPr="006251E4" w:rsidRDefault="00D14325" w:rsidP="00D14325">
      <w:pPr>
        <w:kinsoku w:val="0"/>
        <w:overflowPunct w:val="0"/>
        <w:autoSpaceDE w:val="0"/>
        <w:autoSpaceDN w:val="0"/>
        <w:snapToGrid w:val="0"/>
        <w:spacing w:line="200" w:lineRule="exact"/>
        <w:ind w:leftChars="201" w:left="707" w:rightChars="132" w:right="277" w:hanging="285"/>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二　委任者又は受任者が破産手続開始の決定を受けたこと。</w:t>
      </w:r>
    </w:p>
    <w:p w:rsidR="00D14325" w:rsidRPr="006251E4" w:rsidRDefault="00D14325" w:rsidP="00D14325">
      <w:pPr>
        <w:kinsoku w:val="0"/>
        <w:overflowPunct w:val="0"/>
        <w:autoSpaceDE w:val="0"/>
        <w:autoSpaceDN w:val="0"/>
        <w:snapToGrid w:val="0"/>
        <w:spacing w:line="200" w:lineRule="exact"/>
        <w:ind w:leftChars="201" w:left="707" w:rightChars="132" w:right="277" w:hanging="285"/>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三　受任者が後見開始の審判を受けたこと。</w:t>
      </w:r>
    </w:p>
    <w:p w:rsidR="00F90AC3" w:rsidRPr="006251E4" w:rsidRDefault="00F90AC3" w:rsidP="00894E67">
      <w:pPr>
        <w:widowControl/>
        <w:jc w:val="left"/>
        <w:rPr>
          <w:rFonts w:ascii="明朝体" w:eastAsia="明朝体" w:hAnsi="Century" w:cs="Times New Roman"/>
          <w:spacing w:val="8"/>
          <w:kern w:val="0"/>
          <w:szCs w:val="20"/>
        </w:rPr>
      </w:pPr>
    </w:p>
    <w:sectPr w:rsidR="00F90AC3"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344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3742A"/>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1CC"/>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8759D"/>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4065">
      <v:textbox inset="5.85pt,.7pt,5.85pt,.7pt"/>
    </o:shapedefaults>
    <o:shapelayout v:ext="edit">
      <o:idmap v:ext="edit" data="1"/>
    </o:shapelayout>
  </w:shapeDefaults>
  <w:decimalSymbol w:val="."/>
  <w:listSeparator w:val=","/>
  <w14:docId w14:val="1307630D"/>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B38C9-DE86-464A-913C-F2CCCA15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6</cp:revision>
  <cp:lastPrinted>2023-04-27T00:13:00Z</cp:lastPrinted>
  <dcterms:created xsi:type="dcterms:W3CDTF">2023-05-02T05:12:00Z</dcterms:created>
  <dcterms:modified xsi:type="dcterms:W3CDTF">2025-12-24T07:20:00Z</dcterms:modified>
</cp:coreProperties>
</file>